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59" w:rsidRPr="00A56259" w:rsidRDefault="00A56259" w:rsidP="00A56259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A56259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t>Les projets</w:t>
      </w:r>
      <w:r w:rsidRPr="00A56259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br/>
        <w:t>collectifs d’économie solidaire comme stratégie d’accès à la citoyenneté. Le</w:t>
      </w:r>
      <w:r w:rsidRPr="00A56259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br/>
        <w:t>cas des militantes de la Marche mondiale des femmes dans le </w:t>
      </w:r>
      <w:r w:rsidRPr="00A56259"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fr-CA"/>
        </w:rPr>
        <w:t>Rio Grande do Norte</w:t>
      </w:r>
      <w:r w:rsidRPr="00A56259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t>, Brésil.</w:t>
      </w:r>
    </w:p>
    <w:p w:rsidR="00A56259" w:rsidRPr="00A56259" w:rsidRDefault="00A56259" w:rsidP="00A56259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Beaulieu Elsa</w:t>
      </w:r>
    </w:p>
    <w:p w:rsidR="00A56259" w:rsidRPr="00A56259" w:rsidRDefault="00A56259" w:rsidP="00A56259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Un des constats qui ressort de l’étude des projets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d’économie solidaire mis sur pied par des groupes de femmes marginalisées dans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le </w:t>
      </w:r>
      <w:r w:rsidRPr="00A56259"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>Rio Grande do Norte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, Brésil, c’est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la faiblesse des revenus générés par les activités productives. Même si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l’augmentation du degré d’autonomie économique des femmes fait partie des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objectifs de ces projets, on ne peut que constater que, pour de multiples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raisons, les revenus générés sont insuffisants, en eux-mêmes, à assurer la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survie économique d’une personne, et à plus forte raison de plusieurs (enfants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et famille à charge, par exemple).  Par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contre, ces projets et initiatives génèrent des retombées positives indéniables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pour les femmes qui y participent, à de multiples niveaux, y compris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l’amélioration des conditions de vie matérielles. Pour comprendre ces projets,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il faut donc abandonner la vision qui consisterait à vouloir les analyser en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termes de « création d’emplois » (emplois qui donneraient accès à un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revenu suffisant pour assurer la survie d’au moins une personne), pour les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analyser dans une perspective économique, sociale et politique plus large. Par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exemple, en termes d’accès à la citoyenneté, prise dans son sens le plus large.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Mais ce changement de perspective ne nous permet pas de dépasser le constat que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ces activités économiques ne permettent pas de « sortir de la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pauvreté ». Il faut donc à la fois ouvrir la discussion sur ce que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signifie vraiment le concept de pauvreté d’un point de vue 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proofErr w:type="spellStart"/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nthropologique</w:t>
      </w:r>
      <w:proofErr w:type="spellEnd"/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, et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remettre en cause les structures économiques et politiques qui favorisent une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bookmarkStart w:id="0" w:name="_GoBack"/>
      <w:bookmarkEnd w:id="0"/>
      <w:r w:rsidRPr="00A56259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répartition inégale des ressources matérielles.</w:t>
      </w:r>
    </w:p>
    <w:p w:rsidR="008C6E44" w:rsidRDefault="00A56259"/>
    <w:sectPr w:rsidR="008C6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59"/>
    <w:rsid w:val="001F3F27"/>
    <w:rsid w:val="00212AB7"/>
    <w:rsid w:val="00513909"/>
    <w:rsid w:val="009E325C"/>
    <w:rsid w:val="00A5225D"/>
    <w:rsid w:val="00A56259"/>
    <w:rsid w:val="00A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56259"/>
    <w:rPr>
      <w:b/>
      <w:bCs/>
    </w:rPr>
  </w:style>
  <w:style w:type="character" w:customStyle="1" w:styleId="apple-converted-space">
    <w:name w:val="apple-converted-space"/>
    <w:basedOn w:val="Policepardfaut"/>
    <w:rsid w:val="00A56259"/>
  </w:style>
  <w:style w:type="character" w:styleId="Accentuation">
    <w:name w:val="Emphasis"/>
    <w:basedOn w:val="Policepardfaut"/>
    <w:uiPriority w:val="20"/>
    <w:qFormat/>
    <w:rsid w:val="00A562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56259"/>
    <w:rPr>
      <w:b/>
      <w:bCs/>
    </w:rPr>
  </w:style>
  <w:style w:type="character" w:customStyle="1" w:styleId="apple-converted-space">
    <w:name w:val="apple-converted-space"/>
    <w:basedOn w:val="Policepardfaut"/>
    <w:rsid w:val="00A56259"/>
  </w:style>
  <w:style w:type="character" w:styleId="Accentuation">
    <w:name w:val="Emphasis"/>
    <w:basedOn w:val="Policepardfaut"/>
    <w:uiPriority w:val="20"/>
    <w:qFormat/>
    <w:rsid w:val="00A56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bordeleau.francois@gmail.com</dc:creator>
  <cp:lastModifiedBy>bordeleau.francois@gmail.com</cp:lastModifiedBy>
  <cp:revision>1</cp:revision>
  <dcterms:created xsi:type="dcterms:W3CDTF">2014-08-29T13:01:00Z</dcterms:created>
  <dcterms:modified xsi:type="dcterms:W3CDTF">2014-08-29T13:02:00Z</dcterms:modified>
</cp:coreProperties>
</file>