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9" w:rsidRPr="00F463B9" w:rsidRDefault="00F463B9" w:rsidP="00F463B9">
      <w:pPr>
        <w:rPr>
          <w:lang w:eastAsia="fr-CA"/>
        </w:rPr>
      </w:pPr>
      <w:r w:rsidRPr="00F463B9">
        <w:rPr>
          <w:lang w:eastAsia="fr-CA"/>
        </w:rPr>
        <w:t>Modalités</w:t>
      </w:r>
      <w:r w:rsidRPr="00F463B9">
        <w:rPr>
          <w:lang w:eastAsia="fr-CA"/>
        </w:rPr>
        <w:br/>
        <w:t>de participation au marché du travail, faibles gains et faible revenu au</w:t>
      </w:r>
      <w:r w:rsidRPr="00F463B9">
        <w:rPr>
          <w:lang w:eastAsia="fr-CA"/>
        </w:rPr>
        <w:br/>
        <w:t>Québec : un portrait statistique</w:t>
      </w:r>
    </w:p>
    <w:p w:rsidR="00F463B9" w:rsidRPr="00F463B9" w:rsidRDefault="00F463B9" w:rsidP="00F463B9">
      <w:pPr>
        <w:rPr>
          <w:color w:val="535353"/>
          <w:sz w:val="20"/>
          <w:szCs w:val="20"/>
          <w:lang w:eastAsia="fr-CA"/>
        </w:rPr>
      </w:pPr>
      <w:r w:rsidRPr="00F463B9">
        <w:rPr>
          <w:color w:val="535353"/>
          <w:sz w:val="20"/>
          <w:szCs w:val="20"/>
          <w:lang w:eastAsia="fr-CA"/>
        </w:rPr>
        <w:t xml:space="preserve">Stéphane </w:t>
      </w:r>
      <w:proofErr w:type="spellStart"/>
      <w:r w:rsidRPr="00F463B9">
        <w:rPr>
          <w:color w:val="535353"/>
          <w:sz w:val="20"/>
          <w:szCs w:val="20"/>
          <w:lang w:eastAsia="fr-CA"/>
        </w:rPr>
        <w:t>Crespo</w:t>
      </w:r>
      <w:proofErr w:type="spellEnd"/>
      <w:r w:rsidRPr="00F463B9">
        <w:rPr>
          <w:color w:val="535353"/>
          <w:sz w:val="20"/>
          <w:szCs w:val="20"/>
          <w:lang w:eastAsia="fr-CA"/>
        </w:rPr>
        <w:t>, Institut de la statistique du Québec</w:t>
      </w:r>
    </w:p>
    <w:p w:rsidR="00F463B9" w:rsidRPr="00F463B9" w:rsidRDefault="00F463B9" w:rsidP="00F463B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Le phénomène des </w:t>
      </w:r>
      <w:r w:rsidRPr="00F463B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faibles gains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se distingue de celui du </w:t>
      </w:r>
      <w:r w:rsidRPr="00F463B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faible revenu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. En général, le premier repose 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sur une insuffisance relative du revenu d’emp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loi personnel (due ou non à une participation atypique au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marché du travail), alo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rs que le second repose sur une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insuffisance du revenu global du ménage. En outre,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les faibles gains n’impliquent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pas nécessairement le faible revenu : d’a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utres revenus personnels que le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revenu d’emploi, et le cas échéant les revenus d’au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tres membres du ménage, peuvent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assurer une protection contre le faible 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evenu. On considérera ici, sous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l’angle statistique, les relations entre le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s modalités de participation au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marché du travail, les faibles gains et le fa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ible revenu au Québec, dans des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cohortes de particuliers différenc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iées selon des caractéristiques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sociodémographiques. En nous appuyant sur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une définition exploratoire du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travailleur à faibles gains, et sur des défi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nitions de la personne à faible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revenu utilisées par les agences gouvern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ementales, quel portrait de ces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relations peut-on faire au Québec, et comment 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celui-ci </w:t>
      </w:r>
      <w:proofErr w:type="spellStart"/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a-t-il</w:t>
      </w:r>
      <w:proofErr w:type="spellEnd"/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évolué au cours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 la dernière décennie ? Les analyses perm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ettront de cerner le rôle de la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vie en ménage comme condition de protection co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ntre le faible revenu, pour des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travailleurs à faibles gains, ou dont la par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ticipation au marché du travail 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s’éloigne plus ou moins de la forme de l’emploi à plein temps dur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ant toute 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l’année. On s’appuier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a sur des données transversales </w:t>
      </w:r>
      <w:bookmarkStart w:id="0" w:name="_GoBack"/>
      <w:bookmarkEnd w:id="0"/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de </w:t>
      </w:r>
      <w:r w:rsidRPr="00F463B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l’Enquête sur la dynamique du travail et du revenu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.</w:t>
      </w:r>
    </w:p>
    <w:p w:rsidR="00F463B9" w:rsidRPr="00F463B9" w:rsidRDefault="00F463B9" w:rsidP="00F463B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 </w:t>
      </w:r>
    </w:p>
    <w:p w:rsidR="00F463B9" w:rsidRPr="00F463B9" w:rsidRDefault="00F463B9" w:rsidP="00F463B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 Stéphane </w:t>
      </w:r>
      <w:proofErr w:type="spellStart"/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Crespo</w:t>
      </w:r>
      <w:proofErr w:type="spellEnd"/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est responsable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de statistiques sur le revenu, l'inégalité de revenu et le faible revenu à</w:t>
      </w:r>
      <w:r w:rsidRPr="00F463B9">
        <w:rPr>
          <w:rFonts w:ascii="Arial" w:eastAsia="Times New Roman" w:hAnsi="Arial" w:cs="Arial"/>
          <w:color w:val="535353"/>
          <w:sz w:val="20"/>
          <w:szCs w:val="20"/>
          <w:lang w:eastAsia="fr-CA"/>
        </w:rPr>
        <w:br/>
        <w:t>l'Institut de la statistique du Québec depuis 2006.</w:t>
      </w:r>
    </w:p>
    <w:p w:rsidR="008C6E44" w:rsidRDefault="00F463B9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B9"/>
    <w:rsid w:val="001F3F27"/>
    <w:rsid w:val="00212AB7"/>
    <w:rsid w:val="00513909"/>
    <w:rsid w:val="009E325C"/>
    <w:rsid w:val="00A5225D"/>
    <w:rsid w:val="00A9653D"/>
    <w:rsid w:val="00F4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63B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Policepardfaut"/>
    <w:rsid w:val="00F463B9"/>
  </w:style>
  <w:style w:type="character" w:styleId="Accentuation">
    <w:name w:val="Emphasis"/>
    <w:basedOn w:val="Policepardfaut"/>
    <w:uiPriority w:val="20"/>
    <w:qFormat/>
    <w:rsid w:val="00F463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46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63B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Policepardfaut"/>
    <w:rsid w:val="00F463B9"/>
  </w:style>
  <w:style w:type="character" w:styleId="Accentuation">
    <w:name w:val="Emphasis"/>
    <w:basedOn w:val="Policepardfaut"/>
    <w:uiPriority w:val="20"/>
    <w:qFormat/>
    <w:rsid w:val="00F46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2014-08-29T12:45:00Z</dcterms:created>
  <dcterms:modified xsi:type="dcterms:W3CDTF">2014-08-29T12:45:00Z</dcterms:modified>
</cp:coreProperties>
</file>