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background w:color="FFFFFF"/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>Séminaires du 26 mars 2012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9h00 à 16h30, INRS, 385 Sherbrooke Est, salle </w:t>
      </w:r>
      <w:r>
        <w:rPr>
          <w:b/>
          <w:color w:val="#535353"/>
          <w:sz w:val="20"/>
        </w:rPr>
        <w:t>1106</w:t>
      </w:r>
    </w:p>
    <w:p>
      <w:r>
        <w:rPr>
          <w:b/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>Déroulement de la journée</w:t>
      </w:r>
    </w:p>
    <w:p>
      <w:r>
        <w:rPr>
          <w:b/>
          <w:color w:val="#535353"/>
          <w:sz w:val="20"/>
        </w:rPr>
      </w:r>
    </w:p>
    <w:p>
      <w:r>
        <w:rPr>
          <w:color w:val="#535353"/>
          <w:sz w:val="20"/>
        </w:rPr>
        <w:t xml:space="preserve">9h00 -  </w:t>
      </w:r>
      <w:r>
        <w:rPr>
          <w:color w:val="#535353"/>
          <w:sz w:val="20"/>
        </w:rPr>
        <w:t>Accueil, présentations et mot de bienvenue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>
        <w:rPr>
          <w:color w:val="#535353"/>
          <w:sz w:val="20"/>
        </w:rPr>
        <w:t xml:space="preserve">9h15 - </w:t>
      </w:r>
      <w:r>
        <w:rPr>
          <w:color w:val="#535353"/>
          <w:sz w:val="20"/>
        </w:rPr>
        <w:t>Des nouvelles du GIREPS : quelques annonces d’événements à venir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 xml:space="preserve">9h30 - </w:t>
      </w:r>
      <w:r>
        <w:rPr>
          <w:color w:val="#535353"/>
          <w:sz w:val="20"/>
        </w:rPr>
        <w:t>Présentation des objectifs et du déroulement de la journée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 xml:space="preserve">9h30-12h30 </w:t>
      </w:r>
      <w:r>
        <w:rPr>
          <w:color w:val="#535353"/>
          <w:sz w:val="20"/>
        </w:rPr>
        <w:t>– Premier séminaire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La centralité du </w:t>
      </w:r>
      <w:r>
        <w:rPr>
          <w:b/>
          <w:color w:val="#535353"/>
          <w:sz w:val="20"/>
        </w:rPr>
        <w:t xml:space="preserve">travail comme vecteur d’inclusion sociale et d’exercice de la citoyenneté : </w:t>
      </w:r>
      <w:r>
        <w:rPr>
          <w:b/>
          <w:color w:val="#535353"/>
          <w:sz w:val="20"/>
        </w:rPr>
        <w:t>quelles remises en question devrait amener le contexte actuel de précarisation?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9h30-9h50 Lise St-Germain, CRSA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À quelles formes </w:t>
      </w:r>
      <w:r>
        <w:rPr>
          <w:b/>
          <w:color w:val="#535353"/>
          <w:sz w:val="20"/>
        </w:rPr>
        <w:t xml:space="preserve">d’insertion et d’inclusion sociale l’insertion en emploi peut-elle mener pour </w:t>
      </w:r>
      <w:r>
        <w:rPr>
          <w:b/>
          <w:color w:val="#535353"/>
          <w:sz w:val="20"/>
        </w:rPr>
        <w:t xml:space="preserve">les personnes éloignées du marché du travail? La précarisation du travail </w:t>
      </w:r>
      <w:r>
        <w:rPr>
          <w:b/>
          <w:color w:val="#535353"/>
          <w:sz w:val="20"/>
        </w:rPr>
        <w:t>introduit-elle une nouvelle donne?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9h50-10h10 Jennifer Beeman, CIAFT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45 ans de lutte </w:t>
      </w:r>
      <w:r>
        <w:rPr>
          <w:b/>
          <w:color w:val="#535353"/>
          <w:sz w:val="20"/>
        </w:rPr>
        <w:t xml:space="preserve">pour l’accès des femmes au marché du travail : conséquences de la précarisation </w:t>
      </w:r>
      <w:r>
        <w:rPr>
          <w:b/>
          <w:color w:val="#535353"/>
          <w:sz w:val="20"/>
        </w:rPr>
        <w:t>sur les stratégies féministes visant l’autonomie économique des femmes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10h10-10h30 Sid Soussi, UQAM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Les impacts de </w:t>
      </w:r>
      <w:r>
        <w:rPr>
          <w:b/>
          <w:color w:val="#535353"/>
          <w:sz w:val="20"/>
        </w:rPr>
        <w:t xml:space="preserve">l’expansion des programmes de travailleurs migrants temporaires (TMT) sur la </w:t>
      </w:r>
      <w:r>
        <w:rPr>
          <w:b/>
          <w:color w:val="#535353"/>
          <w:sz w:val="20"/>
        </w:rPr>
        <w:t>précarisation du travail au Québec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10h30-12h30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>Discussion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12h30-13h30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>Repas du midi fourni sur place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 xml:space="preserve">13h30-16h30 </w:t>
      </w:r>
      <w:r>
        <w:rPr>
          <w:color w:val="#535353"/>
          <w:sz w:val="20"/>
        </w:rPr>
        <w:t>– Deuxième séminaire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Les individus et </w:t>
      </w:r>
      <w:r>
        <w:rPr>
          <w:b/>
          <w:color w:val="#535353"/>
          <w:sz w:val="20"/>
        </w:rPr>
        <w:t xml:space="preserve">les ménages face à la précarisation : partage des revenus au sein des couples, </w:t>
      </w:r>
      <w:r>
        <w:rPr>
          <w:b/>
          <w:color w:val="#535353"/>
          <w:sz w:val="20"/>
        </w:rPr>
        <w:t>endettement, stratégies de survie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13h30-13h50 - Hélène Belleau, INRS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La solidarité conjugale a-t-elle des limites? Le partage de l’argent au </w:t>
      </w:r>
      <w:r>
        <w:rPr>
          <w:b/>
          <w:color w:val="#535353"/>
          <w:sz w:val="20"/>
        </w:rPr>
        <w:t>sein des couples en contexte de précarisation du travail</w:t>
      </w:r>
    </w:p>
    <w:p>
      <w:r>
        <w:rPr>
          <w:b/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 xml:space="preserve">13h50-14h10 - </w:t>
      </w:r>
      <w:r>
        <w:rPr>
          <w:color w:val="#535353"/>
          <w:sz w:val="20"/>
        </w:rPr>
        <w:t>Monique Émond, CIBES Mauricie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Surendettement : </w:t>
      </w:r>
      <w:r>
        <w:rPr>
          <w:b/>
          <w:color w:val="#535353"/>
          <w:sz w:val="20"/>
        </w:rPr>
        <w:t>fracture individuelle et sociale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Voir le document produit par le CIBES au bas de la page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 xml:space="preserve">14h10-14h30 - </w:t>
      </w:r>
      <w:r>
        <w:rPr>
          <w:color w:val="#535353"/>
          <w:sz w:val="20"/>
        </w:rPr>
        <w:t>Anne Lardeux, Université de Montréal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 xml:space="preserve">Injonctions </w:t>
      </w:r>
      <w:r>
        <w:rPr>
          <w:b/>
          <w:color w:val="#535353"/>
          <w:sz w:val="20"/>
        </w:rPr>
        <w:t xml:space="preserve">capitalistes et travail : les travailleurs pauvres entre possession, </w:t>
      </w:r>
      <w:r>
        <w:rPr>
          <w:b/>
          <w:color w:val="#535353"/>
          <w:sz w:val="20"/>
        </w:rPr>
        <w:t xml:space="preserve">dépossession, assujettissement et résistance 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14h30-16h15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>Discussion</w:t>
      </w:r>
    </w:p>
    <w:p>
      <w:r>
        <w:rPr>
          <w:color w:val="#535353"/>
          <w:sz w:val="20"/>
        </w:rPr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color w:val="535353"/>
          <w:sz w:val="20"/>
        </w:rPr>
        <w:t>16h15-16h30</w:t>
      </w:r>
    </w:p>
    <w:p w:rsidR="00000000" w:rsidDel="00000000" w:rsidRDefault="00000000" w:rsidP="00000000" w:rsidRPr="00000000">
      <w:pPr>
        <w:contextualSpacing w:val="0"/>
        <w:spacing w:before="120" w:after="200" w:line="299" w:lineRule="auto"/>
      </w:pPr>
      <w:r w:rsidR="00000000" w:rsidDel="00000000" w:rsidRPr="00000000">
        <w:rPr>
          <w:rtl w:val="0"/>
          <w:b/>
          <w:color w:val="535353"/>
          <w:sz w:val="20"/>
        </w:rPr>
        <w:t>Conclusion générale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titre.docx</dc:title>
</cp:coreProperties>
</file>